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Order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for other purposes;</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every six (6) months throughout the Contract Period; and</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vertAlign w:val="baseline"/>
          <w:rtl w:val="0"/>
        </w:rPr>
        <w:t xml:space="preserve">no later than twenty (20) Working Days after a request from the Buyer for an up-to-date copy of the Exit Plan;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as soon as reasonably possible following, and in any event no later than twenty (20) Working Days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any material change to the Deliverables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 all changes under the Variation Procedure); and  </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period during which it is anticipated that Termination Assistance will be required, which shall continue no longer than twelve (12) Months after the date that the Supplier ceases to provide the Deliverables.</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4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0">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5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5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7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Fonts w:ascii="Arial" w:cs="Arial" w:eastAsia="Arial" w:hAnsi="Arial"/>
        <w:sz w:val="20"/>
        <w:szCs w:val="20"/>
        <w:rtl w:val="0"/>
      </w:rPr>
      <w:t xml:space="preserve">CCZZ24A16</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cxNqlW1++RO31ZwQT12TFvllN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2019-04-10T23:19:00Z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